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742" w:rsidRPr="006A29A2" w:rsidRDefault="006A29A2">
      <w:pPr>
        <w:jc w:val="center"/>
        <w:rPr>
          <w:b/>
        </w:rPr>
      </w:pPr>
      <w:r w:rsidRPr="006A29A2">
        <w:rPr>
          <w:rFonts w:ascii="Times New Roman" w:hAnsi="Times New Roman"/>
          <w:b/>
        </w:rPr>
        <w:t>Kari tanácsi határozat az ELTE TTK FKR módosításáról</w:t>
      </w:r>
    </w:p>
    <w:p w:rsidR="00073742" w:rsidRDefault="00073742">
      <w:pPr>
        <w:jc w:val="center"/>
        <w:rPr>
          <w:rFonts w:ascii="Times New Roman" w:hAnsi="Times New Roman"/>
          <w:b/>
          <w:bCs/>
        </w:rPr>
      </w:pPr>
    </w:p>
    <w:p w:rsidR="00073742" w:rsidRDefault="00073742">
      <w:pPr>
        <w:jc w:val="center"/>
        <w:rPr>
          <w:rFonts w:ascii="Times New Roman" w:hAnsi="Times New Roman"/>
        </w:rPr>
      </w:pPr>
    </w:p>
    <w:p w:rsidR="00073742" w:rsidRDefault="006A29A2">
      <w:pPr>
        <w:jc w:val="both"/>
      </w:pPr>
      <w:r>
        <w:rPr>
          <w:rFonts w:ascii="Times New Roman" w:hAnsi="Times New Roman"/>
        </w:rPr>
        <w:t xml:space="preserve">A Kari Tanács 19 igen, 1 nem, 2 tartózkodás mellett támogatta, hogy az </w:t>
      </w:r>
      <w:r w:rsidR="0058188A">
        <w:rPr>
          <w:rFonts w:ascii="Times New Roman" w:hAnsi="Times New Roman"/>
        </w:rPr>
        <w:t xml:space="preserve">az ELTE TTK </w:t>
      </w:r>
      <w:r>
        <w:rPr>
          <w:rFonts w:ascii="Times New Roman" w:hAnsi="Times New Roman"/>
        </w:rPr>
        <w:t xml:space="preserve">FKR 12. §. </w:t>
      </w:r>
      <w:bookmarkStart w:id="0" w:name="_GoBack"/>
      <w:bookmarkEnd w:id="0"/>
      <w:r>
        <w:rPr>
          <w:rFonts w:ascii="Times New Roman" w:hAnsi="Times New Roman"/>
        </w:rPr>
        <w:t>az alábbiak szerint változzék:</w:t>
      </w:r>
    </w:p>
    <w:p w:rsidR="00073742" w:rsidRDefault="00073742">
      <w:pPr>
        <w:rPr>
          <w:rFonts w:ascii="Times New Roman" w:hAnsi="Times New Roman"/>
        </w:rPr>
      </w:pPr>
    </w:p>
    <w:p w:rsidR="00073742" w:rsidRDefault="00073742">
      <w:pPr>
        <w:rPr>
          <w:rFonts w:ascii="Times New Roman" w:hAnsi="Times New Roman"/>
        </w:rPr>
      </w:pPr>
    </w:p>
    <w:p w:rsidR="00073742" w:rsidRDefault="006A29A2" w:rsidP="006A29A2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Az oktatói-kutatói követelmények </w:t>
      </w:r>
      <w:proofErr w:type="gramStart"/>
      <w:r>
        <w:rPr>
          <w:rFonts w:ascii="Times New Roman" w:hAnsi="Times New Roman"/>
          <w:b/>
          <w:bCs/>
        </w:rPr>
        <w:t>speciális</w:t>
      </w:r>
      <w:proofErr w:type="gramEnd"/>
      <w:r>
        <w:rPr>
          <w:rFonts w:ascii="Times New Roman" w:hAnsi="Times New Roman"/>
          <w:b/>
          <w:bCs/>
        </w:rPr>
        <w:t xml:space="preserve"> szabályai a Természettudományi Karon</w:t>
      </w:r>
    </w:p>
    <w:p w:rsidR="00073742" w:rsidRDefault="00073742">
      <w:pPr>
        <w:jc w:val="center"/>
        <w:rPr>
          <w:rFonts w:ascii="Times New Roman" w:hAnsi="Times New Roman"/>
        </w:rPr>
      </w:pPr>
    </w:p>
    <w:p w:rsidR="00073742" w:rsidRPr="006A29A2" w:rsidRDefault="006A29A2">
      <w:pPr>
        <w:jc w:val="center"/>
        <w:rPr>
          <w:rFonts w:ascii="Times New Roman" w:hAnsi="Times New Roman"/>
          <w:b/>
        </w:rPr>
      </w:pPr>
      <w:r w:rsidRPr="006A29A2">
        <w:rPr>
          <w:rFonts w:ascii="Times New Roman" w:hAnsi="Times New Roman"/>
          <w:b/>
        </w:rPr>
        <w:t>12. §</w:t>
      </w:r>
    </w:p>
    <w:p w:rsidR="00073742" w:rsidRDefault="00073742">
      <w:pPr>
        <w:jc w:val="both"/>
        <w:rPr>
          <w:rFonts w:ascii="Times New Roman" w:hAnsi="Times New Roman"/>
        </w:rPr>
      </w:pPr>
    </w:p>
    <w:p w:rsidR="00073742" w:rsidRDefault="006A29A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>
        <w:rPr>
          <w:rFonts w:ascii="Times New Roman" w:hAnsi="Times New Roman"/>
          <w:strike/>
        </w:rPr>
        <w:t>1) Egyetemi, főiskolai tanár és egyetemi, főiskolai docens hét oktatással - kutatással az egyetemen töltött év után egy év alkotói szabadságot vehet igénybe, mely legfeljebb két részletre – az oktatási féléveknek megfelelő két részre – szakaszolható.</w:t>
      </w:r>
    </w:p>
    <w:p w:rsidR="00073742" w:rsidRDefault="006A29A2">
      <w:pPr>
        <w:jc w:val="both"/>
        <w:rPr>
          <w:rFonts w:ascii="Times New Roman" w:hAnsi="Times New Roman"/>
          <w:strike/>
        </w:rPr>
      </w:pPr>
      <w:r>
        <w:rPr>
          <w:rFonts w:ascii="Times New Roman" w:hAnsi="Times New Roman"/>
          <w:strike/>
        </w:rPr>
        <w:t xml:space="preserve">(2) Az alkotói szabadságot a helyettesítésre vonatkozó nyilatkozattal együtt az </w:t>
      </w:r>
      <w:proofErr w:type="gramStart"/>
      <w:r>
        <w:rPr>
          <w:rFonts w:ascii="Times New Roman" w:hAnsi="Times New Roman"/>
          <w:strike/>
        </w:rPr>
        <w:t>oktatási  tevékenységért</w:t>
      </w:r>
      <w:proofErr w:type="gramEnd"/>
      <w:r>
        <w:rPr>
          <w:rFonts w:ascii="Times New Roman" w:hAnsi="Times New Roman"/>
          <w:strike/>
        </w:rPr>
        <w:t xml:space="preserve"> felelős vezető terjeszti fel, s azt az intézeti tanács a kérelmező által beterjesztett munkaterv alapján véleményezi. Az alkotói szabadságot a dékán engedélyezi azzal, hogy ez az érintett oktatásszervezeti egység részére többlet bérigénnyel nem járhat. Az alkotói szabadság idejére távolléti díj jár.</w:t>
      </w:r>
    </w:p>
    <w:p w:rsidR="00073742" w:rsidRDefault="006A29A2">
      <w:pPr>
        <w:jc w:val="both"/>
        <w:rPr>
          <w:rFonts w:ascii="Times New Roman" w:hAnsi="Times New Roman"/>
          <w:strike/>
        </w:rPr>
      </w:pPr>
      <w:r>
        <w:rPr>
          <w:rFonts w:ascii="Times New Roman" w:hAnsi="Times New Roman"/>
          <w:strike/>
        </w:rPr>
        <w:t>(3) Az oktató az alkotói szabadság lejártával az intézeti tanács által meghatározott módon köteles kutatási eredménye it bemutatni.”</w:t>
      </w:r>
    </w:p>
    <w:p w:rsidR="00073742" w:rsidRDefault="00073742">
      <w:pPr>
        <w:jc w:val="both"/>
      </w:pPr>
    </w:p>
    <w:p w:rsidR="00073742" w:rsidRDefault="006A29A2">
      <w:pPr>
        <w:jc w:val="both"/>
      </w:pPr>
      <w:r>
        <w:rPr>
          <w:rFonts w:ascii="Times New Roman" w:hAnsi="Times New Roman"/>
          <w:b/>
          <w:bCs/>
          <w:color w:val="FF3300"/>
        </w:rPr>
        <w:t xml:space="preserve">(1) A Kar oktatói kötelesek heti egy órában, nyilvános, tanrendben rögzített időpontban a hallgatók részére </w:t>
      </w:r>
      <w:proofErr w:type="gramStart"/>
      <w:r>
        <w:rPr>
          <w:rFonts w:ascii="Times New Roman" w:hAnsi="Times New Roman"/>
          <w:b/>
          <w:bCs/>
          <w:color w:val="FF3300"/>
        </w:rPr>
        <w:t>konzultációt</w:t>
      </w:r>
      <w:proofErr w:type="gramEnd"/>
      <w:r>
        <w:rPr>
          <w:rFonts w:ascii="Times New Roman" w:hAnsi="Times New Roman"/>
          <w:b/>
          <w:bCs/>
          <w:color w:val="FF3300"/>
        </w:rPr>
        <w:t xml:space="preserve"> tartani („általános konzultáció”).  A </w:t>
      </w:r>
      <w:proofErr w:type="gramStart"/>
      <w:r>
        <w:rPr>
          <w:rFonts w:ascii="Times New Roman" w:hAnsi="Times New Roman"/>
          <w:b/>
          <w:bCs/>
          <w:color w:val="FF3300"/>
        </w:rPr>
        <w:t>konzultáció</w:t>
      </w:r>
      <w:proofErr w:type="gramEnd"/>
      <w:r>
        <w:rPr>
          <w:rFonts w:ascii="Times New Roman" w:hAnsi="Times New Roman"/>
          <w:b/>
          <w:bCs/>
          <w:color w:val="FF3300"/>
        </w:rPr>
        <w:t xml:space="preserve"> helyszíne lehet az oktató irodája, laboratóriuma, vagy egy tanszéki/intézeti tárgyaló. Az oktatók </w:t>
      </w:r>
      <w:proofErr w:type="spellStart"/>
      <w:r>
        <w:rPr>
          <w:rFonts w:ascii="Times New Roman" w:hAnsi="Times New Roman"/>
          <w:b/>
          <w:bCs/>
          <w:color w:val="FF3300"/>
        </w:rPr>
        <w:t>Nftv</w:t>
      </w:r>
      <w:proofErr w:type="spellEnd"/>
      <w:r>
        <w:rPr>
          <w:rFonts w:ascii="Times New Roman" w:hAnsi="Times New Roman"/>
          <w:b/>
          <w:bCs/>
          <w:color w:val="FF3300"/>
        </w:rPr>
        <w:t xml:space="preserve">. által megállapított legkisebb kötelező óraszámába az általános </w:t>
      </w:r>
      <w:proofErr w:type="gramStart"/>
      <w:r>
        <w:rPr>
          <w:rFonts w:ascii="Times New Roman" w:hAnsi="Times New Roman"/>
          <w:b/>
          <w:bCs/>
          <w:color w:val="FF3300"/>
        </w:rPr>
        <w:t>konzultáció</w:t>
      </w:r>
      <w:proofErr w:type="gramEnd"/>
      <w:r>
        <w:rPr>
          <w:rFonts w:ascii="Times New Roman" w:hAnsi="Times New Roman"/>
          <w:b/>
          <w:bCs/>
          <w:color w:val="FF3300"/>
        </w:rPr>
        <w:t xml:space="preserve"> (egy tanóra értékig) beleszámít.</w:t>
      </w:r>
    </w:p>
    <w:p w:rsidR="00073742" w:rsidRDefault="006A29A2">
      <w:pPr>
        <w:jc w:val="both"/>
        <w:rPr>
          <w:b/>
          <w:bCs/>
          <w:color w:val="FF3300"/>
        </w:rPr>
      </w:pPr>
      <w:r>
        <w:rPr>
          <w:rFonts w:ascii="Times New Roman" w:hAnsi="Times New Roman"/>
          <w:b/>
          <w:bCs/>
          <w:color w:val="FF3300"/>
        </w:rPr>
        <w:t xml:space="preserve">(2) Az alap- és mesterszakos szakdolgozat témavezetése hallgatónként legfeljebb heti egy, a doktori témavezetés legfeljebb heti </w:t>
      </w:r>
      <w:proofErr w:type="gramStart"/>
      <w:r>
        <w:rPr>
          <w:rFonts w:ascii="Times New Roman" w:hAnsi="Times New Roman"/>
          <w:b/>
          <w:bCs/>
          <w:color w:val="FF3300"/>
        </w:rPr>
        <w:t>kettő  óra</w:t>
      </w:r>
      <w:proofErr w:type="gramEnd"/>
      <w:r>
        <w:rPr>
          <w:rFonts w:ascii="Times New Roman" w:hAnsi="Times New Roman"/>
          <w:b/>
          <w:bCs/>
          <w:color w:val="FF3300"/>
        </w:rPr>
        <w:t xml:space="preserve"> erejéig számítható be a legkisebb kötelező óraszámba </w:t>
      </w:r>
      <w:proofErr w:type="spellStart"/>
      <w:r>
        <w:rPr>
          <w:rFonts w:ascii="Times New Roman" w:hAnsi="Times New Roman"/>
          <w:b/>
          <w:bCs/>
          <w:color w:val="FF3300"/>
        </w:rPr>
        <w:t>mindazokban</w:t>
      </w:r>
      <w:proofErr w:type="spellEnd"/>
      <w:r>
        <w:rPr>
          <w:rFonts w:ascii="Times New Roman" w:hAnsi="Times New Roman"/>
          <w:b/>
          <w:bCs/>
          <w:color w:val="FF3300"/>
        </w:rPr>
        <w:t xml:space="preserve"> a félévekben, amelyekben a témavezetett hallgató  felvette a szakdolgozat/diplomamunka készítéshez kapcsolódó tárgyat és a félév végén érdemjegyet szerzett belőle .</w:t>
      </w:r>
    </w:p>
    <w:p w:rsidR="00073742" w:rsidRDefault="006A29A2">
      <w:pPr>
        <w:jc w:val="both"/>
        <w:rPr>
          <w:rFonts w:ascii="Times New Roman" w:hAnsi="Times New Roman"/>
          <w:b/>
          <w:bCs/>
          <w:color w:val="FF3300"/>
        </w:rPr>
      </w:pPr>
      <w:r>
        <w:rPr>
          <w:rFonts w:ascii="Times New Roman" w:hAnsi="Times New Roman"/>
          <w:b/>
          <w:bCs/>
          <w:color w:val="FF3300"/>
        </w:rPr>
        <w:t xml:space="preserve">(3) Az intézetigazgató az oktatási feladatok ellátása  érdekében </w:t>
      </w:r>
      <w:proofErr w:type="gramStart"/>
      <w:r>
        <w:rPr>
          <w:rFonts w:ascii="Times New Roman" w:hAnsi="Times New Roman"/>
          <w:b/>
          <w:bCs/>
          <w:color w:val="FF3300"/>
        </w:rPr>
        <w:t>maximálhatja</w:t>
      </w:r>
      <w:proofErr w:type="gramEnd"/>
      <w:r>
        <w:rPr>
          <w:rFonts w:ascii="Times New Roman" w:hAnsi="Times New Roman"/>
          <w:b/>
          <w:bCs/>
          <w:color w:val="FF3300"/>
        </w:rPr>
        <w:t xml:space="preserve"> az oktató témavezetések és az ELTE FKR </w:t>
      </w:r>
      <w:r>
        <w:rPr>
          <w:rFonts w:ascii="Times New Roman" w:hAnsi="Times New Roman"/>
          <w:b/>
          <w:bCs/>
          <w:color w:val="FF3300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color w:val="FF3300"/>
        </w:rPr>
        <w:t>71. § (3) bekezdése alapján beszámítható óraszámát.</w:t>
      </w:r>
    </w:p>
    <w:p w:rsidR="006A29A2" w:rsidRDefault="006A29A2">
      <w:pPr>
        <w:jc w:val="both"/>
        <w:rPr>
          <w:rFonts w:ascii="Times New Roman" w:hAnsi="Times New Roman"/>
          <w:b/>
          <w:bCs/>
          <w:color w:val="FF3300"/>
        </w:rPr>
      </w:pPr>
    </w:p>
    <w:p w:rsidR="006A29A2" w:rsidRDefault="006A29A2">
      <w:pPr>
        <w:jc w:val="both"/>
        <w:rPr>
          <w:rFonts w:ascii="Times New Roman" w:hAnsi="Times New Roman"/>
          <w:b/>
          <w:bCs/>
          <w:color w:val="FF3300"/>
        </w:rPr>
      </w:pPr>
    </w:p>
    <w:p w:rsidR="006A29A2" w:rsidRDefault="006A29A2" w:rsidP="006A29A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Budapest, 2017. február 22.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6A29A2" w:rsidRDefault="006A29A2" w:rsidP="006A29A2">
      <w:pPr>
        <w:rPr>
          <w:rFonts w:ascii="Times New Roman" w:hAnsi="Times New Roman"/>
        </w:rPr>
      </w:pPr>
    </w:p>
    <w:p w:rsidR="006A29A2" w:rsidRDefault="006A29A2" w:rsidP="006A29A2">
      <w:pPr>
        <w:rPr>
          <w:rFonts w:ascii="Times New Roman" w:hAnsi="Times New Roman"/>
        </w:rPr>
      </w:pPr>
    </w:p>
    <w:p w:rsidR="006A29A2" w:rsidRDefault="006A29A2" w:rsidP="006A29A2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Surján Péter</w:t>
      </w:r>
    </w:p>
    <w:p w:rsidR="006A29A2" w:rsidRDefault="006A29A2" w:rsidP="006A29A2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</w:t>
      </w:r>
      <w:proofErr w:type="gramStart"/>
      <w:r>
        <w:rPr>
          <w:rFonts w:ascii="Times New Roman" w:hAnsi="Times New Roman"/>
        </w:rPr>
        <w:t>dékán</w:t>
      </w:r>
      <w:proofErr w:type="gramEnd"/>
    </w:p>
    <w:p w:rsidR="006A29A2" w:rsidRDefault="006A29A2">
      <w:pPr>
        <w:jc w:val="both"/>
      </w:pPr>
    </w:p>
    <w:sectPr w:rsidR="006A29A2">
      <w:pgSz w:w="11906" w:h="16838"/>
      <w:pgMar w:top="1134" w:right="1134" w:bottom="1134" w:left="1134" w:header="0" w:footer="0" w:gutter="0"/>
      <w:cols w:space="708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742"/>
    <w:rsid w:val="00073742"/>
    <w:rsid w:val="0058188A"/>
    <w:rsid w:val="006A29A2"/>
    <w:rsid w:val="007E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BE371"/>
  <w15:docId w15:val="{9677FC61-30CF-4266-B5CB-B115A673C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Tahoma" w:hAnsi="Liberation Serif" w:cs="Lohit Devanagari"/>
        <w:szCs w:val="24"/>
        <w:lang w:val="hu-H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overflowPunct w:val="0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default</vt:lpstr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subject/>
  <dc:creator>TTK dekan</dc:creator>
  <dc:description/>
  <cp:lastModifiedBy>biroeva</cp:lastModifiedBy>
  <cp:revision>3</cp:revision>
  <dcterms:created xsi:type="dcterms:W3CDTF">2017-02-23T14:09:00Z</dcterms:created>
  <dcterms:modified xsi:type="dcterms:W3CDTF">2017-02-23T14:51:00Z</dcterms:modified>
  <dc:language>hu-HU</dc:language>
</cp:coreProperties>
</file>