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DFE" w:rsidRDefault="006A3807">
      <w:r>
        <w:t>Eötvös Loránd Tudományegyetem</w:t>
      </w:r>
      <w:r>
        <w:tab/>
      </w:r>
      <w:r>
        <w:tab/>
      </w:r>
      <w:r>
        <w:tab/>
      </w:r>
      <w:r>
        <w:tab/>
      </w:r>
      <w:r>
        <w:rPr>
          <w:color w:val="000000"/>
        </w:rPr>
        <w:t>TTK/6/3 (2015) (T-9)</w:t>
      </w:r>
      <w:r>
        <w:rPr>
          <w:color w:val="FF0000"/>
        </w:rPr>
        <w:br/>
      </w:r>
      <w:r>
        <w:t>Természettudományi Kar</w:t>
      </w:r>
      <w:r>
        <w:tab/>
      </w:r>
      <w:r>
        <w:tab/>
      </w:r>
      <w:r>
        <w:tab/>
      </w:r>
      <w:r>
        <w:tab/>
      </w:r>
      <w:r>
        <w:tab/>
        <w:t>Budapest, 2015. március 18. Dékáni Titkárság</w:t>
      </w:r>
      <w:r>
        <w:tab/>
      </w:r>
    </w:p>
    <w:p w:rsidR="00501DFE" w:rsidRDefault="006A3807">
      <w:pPr>
        <w:pStyle w:val="Cmkzpre"/>
        <w:spacing w:before="480" w:after="360"/>
        <w:rPr>
          <w:szCs w:val="24"/>
        </w:rPr>
      </w:pPr>
      <w:r>
        <w:rPr>
          <w:szCs w:val="24"/>
        </w:rPr>
        <w:t>Emlékeztető és Határozatok</w:t>
      </w:r>
      <w:r>
        <w:rPr>
          <w:szCs w:val="24"/>
        </w:rPr>
        <w:br/>
        <w:t>a Kari Tanács 2015. március 18</w:t>
      </w:r>
      <w:r>
        <w:rPr>
          <w:color w:val="000000"/>
          <w:szCs w:val="24"/>
        </w:rPr>
        <w:t>-án (s</w:t>
      </w:r>
      <w:r>
        <w:rPr>
          <w:szCs w:val="24"/>
        </w:rPr>
        <w:t>zerdán) megtartott üléséről</w:t>
      </w:r>
    </w:p>
    <w:p w:rsidR="00501DFE" w:rsidRDefault="006A3807">
      <w:pPr>
        <w:spacing w:before="360" w:line="340" w:lineRule="atLeast"/>
        <w:jc w:val="center"/>
        <w:rPr>
          <w:b/>
          <w:szCs w:val="24"/>
          <w:lang w:eastAsia="hu-HU"/>
        </w:rPr>
      </w:pPr>
      <w:r>
        <w:rPr>
          <w:b/>
          <w:szCs w:val="24"/>
          <w:lang w:eastAsia="hu-HU"/>
        </w:rPr>
        <w:t>I.</w:t>
      </w:r>
    </w:p>
    <w:p w:rsidR="00501DFE" w:rsidRDefault="006A3807">
      <w:pPr>
        <w:spacing w:before="240" w:line="340" w:lineRule="atLeast"/>
        <w:ind w:left="425"/>
        <w:jc w:val="both"/>
        <w:rPr>
          <w:szCs w:val="24"/>
          <w:lang w:eastAsia="hu-HU"/>
        </w:rPr>
      </w:pPr>
      <w:r>
        <w:rPr>
          <w:szCs w:val="24"/>
          <w:lang w:eastAsia="hu-HU"/>
        </w:rPr>
        <w:t xml:space="preserve">A Dékán javasolta, hogy a napirendi pontok tárgyalásának sorrendje cserélődjön fel: a szabályzat tervezetek tárgyalása a HKR-rel kezdődjön, és ezután következzen az SZMR és az FKR tárgyalása. Ezt a javaslatot a Kari Tanács egyhangúlag támogatta. </w:t>
      </w:r>
    </w:p>
    <w:p w:rsidR="00501DFE" w:rsidRDefault="006A3807">
      <w:pPr>
        <w:spacing w:before="240" w:line="340" w:lineRule="atLeast"/>
        <w:ind w:left="425"/>
        <w:jc w:val="both"/>
        <w:rPr>
          <w:szCs w:val="24"/>
          <w:lang w:eastAsia="hu-HU"/>
        </w:rPr>
      </w:pPr>
      <w:r>
        <w:rPr>
          <w:szCs w:val="24"/>
          <w:lang w:eastAsia="hu-HU"/>
        </w:rPr>
        <w:t>A Kari Ta</w:t>
      </w:r>
      <w:r>
        <w:rPr>
          <w:szCs w:val="24"/>
          <w:lang w:eastAsia="hu-HU"/>
        </w:rPr>
        <w:t xml:space="preserve">nács a napirendet ellenszavazat és tartózkodás nélkül elfogadta. </w:t>
      </w:r>
    </w:p>
    <w:p w:rsidR="00501DFE" w:rsidRDefault="006A3807">
      <w:pPr>
        <w:spacing w:before="360" w:line="340" w:lineRule="atLeast"/>
        <w:ind w:left="425"/>
        <w:jc w:val="center"/>
        <w:rPr>
          <w:b/>
          <w:szCs w:val="24"/>
        </w:rPr>
      </w:pPr>
      <w:r>
        <w:rPr>
          <w:b/>
          <w:szCs w:val="24"/>
        </w:rPr>
        <w:t>II.</w:t>
      </w:r>
    </w:p>
    <w:p w:rsidR="00501DFE" w:rsidRDefault="006A3807">
      <w:pPr>
        <w:spacing w:line="340" w:lineRule="atLeast"/>
        <w:jc w:val="both"/>
        <w:rPr>
          <w:szCs w:val="24"/>
        </w:rPr>
      </w:pPr>
      <w:r>
        <w:rPr>
          <w:szCs w:val="24"/>
        </w:rPr>
        <w:t>A Kari Tanács titkos szavazással</w:t>
      </w:r>
    </w:p>
    <w:p w:rsidR="00501DFE" w:rsidRDefault="00501DFE">
      <w:pPr>
        <w:spacing w:line="340" w:lineRule="atLeast"/>
        <w:jc w:val="both"/>
        <w:rPr>
          <w:szCs w:val="24"/>
        </w:rPr>
      </w:pPr>
    </w:p>
    <w:p w:rsidR="00501DFE" w:rsidRDefault="006A3807">
      <w:pPr>
        <w:spacing w:line="340" w:lineRule="atLeast"/>
        <w:ind w:firstLine="708"/>
        <w:jc w:val="both"/>
        <w:rPr>
          <w:szCs w:val="24"/>
        </w:rPr>
      </w:pPr>
      <w:r>
        <w:rPr>
          <w:szCs w:val="24"/>
        </w:rPr>
        <w:t>Major Katalin részfoglalkozású tanársegédi kinevezését helyettesként határozott időre a Biológiai Intézethez (Élettani és Neurobiológiai Tanszék) 22 ige</w:t>
      </w:r>
      <w:r>
        <w:rPr>
          <w:szCs w:val="24"/>
        </w:rPr>
        <w:t>n, 1 nem, 1 érvénytelen szavazattal támogatta,</w:t>
      </w:r>
    </w:p>
    <w:p w:rsidR="00501DFE" w:rsidRDefault="00501DFE">
      <w:pPr>
        <w:spacing w:line="340" w:lineRule="atLeast"/>
        <w:ind w:firstLine="708"/>
        <w:jc w:val="both"/>
        <w:rPr>
          <w:szCs w:val="24"/>
        </w:rPr>
      </w:pPr>
    </w:p>
    <w:p w:rsidR="00501DFE" w:rsidRDefault="006A3807">
      <w:pPr>
        <w:spacing w:line="340" w:lineRule="atLeast"/>
        <w:ind w:firstLine="708"/>
        <w:jc w:val="both"/>
        <w:rPr>
          <w:szCs w:val="24"/>
        </w:rPr>
      </w:pPr>
      <w:r>
        <w:rPr>
          <w:szCs w:val="24"/>
        </w:rPr>
        <w:t>Sándor Zsolt adjunktusi kinevezését a Földrajz- és Földtudományi Intézethez (Csillagászati Tanszék) 24 igen, 0 nem, 0 érvénytelen szavazattal támogatta,</w:t>
      </w:r>
    </w:p>
    <w:p w:rsidR="00501DFE" w:rsidRDefault="00501DFE">
      <w:pPr>
        <w:spacing w:line="340" w:lineRule="atLeast"/>
        <w:ind w:firstLine="708"/>
        <w:jc w:val="both"/>
        <w:rPr>
          <w:szCs w:val="24"/>
        </w:rPr>
      </w:pPr>
    </w:p>
    <w:p w:rsidR="00501DFE" w:rsidRDefault="006A3807">
      <w:pPr>
        <w:spacing w:line="340" w:lineRule="atLeast"/>
        <w:ind w:firstLine="708"/>
        <w:jc w:val="both"/>
        <w:rPr>
          <w:szCs w:val="24"/>
        </w:rPr>
      </w:pPr>
      <w:r>
        <w:rPr>
          <w:szCs w:val="24"/>
        </w:rPr>
        <w:t>Magyar Anna részfoglalkozású tudományos főmunkatársi k</w:t>
      </w:r>
      <w:r>
        <w:rPr>
          <w:szCs w:val="24"/>
        </w:rPr>
        <w:t>inevezését határozott időre a Biológiai Intézethez (Immunológiai Tanszék) 24 igen, 0 nem, 0 érvénytelen szavazattal támogatta,</w:t>
      </w:r>
    </w:p>
    <w:p w:rsidR="00501DFE" w:rsidRDefault="00501DFE">
      <w:pPr>
        <w:spacing w:line="340" w:lineRule="atLeast"/>
        <w:ind w:firstLine="708"/>
        <w:jc w:val="both"/>
        <w:rPr>
          <w:szCs w:val="24"/>
        </w:rPr>
      </w:pPr>
    </w:p>
    <w:p w:rsidR="00501DFE" w:rsidRDefault="006A3807">
      <w:pPr>
        <w:spacing w:before="360" w:line="340" w:lineRule="atLeast"/>
        <w:ind w:left="425"/>
        <w:jc w:val="center"/>
        <w:rPr>
          <w:b/>
          <w:szCs w:val="24"/>
        </w:rPr>
      </w:pPr>
      <w:r>
        <w:rPr>
          <w:b/>
          <w:szCs w:val="24"/>
        </w:rPr>
        <w:t>III.</w:t>
      </w:r>
    </w:p>
    <w:p w:rsidR="00501DFE" w:rsidRDefault="006A3807">
      <w:pPr>
        <w:pStyle w:val="bekezds"/>
        <w:rPr>
          <w:szCs w:val="24"/>
          <w:lang w:eastAsia="en-US"/>
        </w:rPr>
      </w:pPr>
      <w:r>
        <w:rPr>
          <w:szCs w:val="24"/>
          <w:lang w:eastAsia="en-US"/>
        </w:rPr>
        <w:t>A Kari Tanács az ELTE SZMSZ II. kötet HKR módosítására tett szenátusi/kancellári előterjesztést javaslatok/kiegészítések né</w:t>
      </w:r>
      <w:r>
        <w:rPr>
          <w:szCs w:val="24"/>
          <w:lang w:eastAsia="en-US"/>
        </w:rPr>
        <w:t>lkül, egyhangúlag támogatta.</w:t>
      </w:r>
    </w:p>
    <w:p w:rsidR="00501DFE" w:rsidRDefault="006A3807">
      <w:pPr>
        <w:spacing w:before="360" w:line="340" w:lineRule="atLeast"/>
        <w:ind w:left="425"/>
        <w:jc w:val="center"/>
        <w:rPr>
          <w:b/>
          <w:szCs w:val="24"/>
        </w:rPr>
      </w:pPr>
      <w:r>
        <w:rPr>
          <w:b/>
          <w:szCs w:val="24"/>
        </w:rPr>
        <w:t>IV.</w:t>
      </w:r>
    </w:p>
    <w:p w:rsidR="00501DFE" w:rsidRDefault="006A3807">
      <w:pPr>
        <w:pStyle w:val="bekezds"/>
        <w:rPr>
          <w:szCs w:val="24"/>
          <w:lang w:eastAsia="en-US"/>
        </w:rPr>
      </w:pPr>
      <w:r>
        <w:rPr>
          <w:szCs w:val="24"/>
          <w:lang w:eastAsia="en-US"/>
        </w:rPr>
        <w:t>A Kari Tanács az ELTE SZMSZ I. kötet SZMR módosítására tett szenátu</w:t>
      </w:r>
      <w:r w:rsidR="00EF7054">
        <w:rPr>
          <w:szCs w:val="24"/>
          <w:lang w:eastAsia="en-US"/>
        </w:rPr>
        <w:t>si/kancellári előterjesztést a m</w:t>
      </w:r>
      <w:r>
        <w:rPr>
          <w:szCs w:val="24"/>
          <w:lang w:eastAsia="en-US"/>
        </w:rPr>
        <w:t xml:space="preserve">ellékletben szereplő módosítási javaslatokkal 22 igen, 0 nem, 2 tartózkodással támogatta. </w:t>
      </w:r>
    </w:p>
    <w:p w:rsidR="00501DFE" w:rsidRDefault="00501DFE">
      <w:pPr>
        <w:pStyle w:val="bekezds"/>
      </w:pPr>
    </w:p>
    <w:p w:rsidR="00501DFE" w:rsidRDefault="00501DFE">
      <w:pPr>
        <w:spacing w:before="240" w:line="340" w:lineRule="atLeast"/>
        <w:ind w:left="425"/>
        <w:jc w:val="both"/>
        <w:rPr>
          <w:szCs w:val="24"/>
          <w:lang w:eastAsia="hu-HU"/>
        </w:rPr>
      </w:pPr>
    </w:p>
    <w:p w:rsidR="00501DFE" w:rsidRDefault="00501DFE">
      <w:pPr>
        <w:spacing w:before="240" w:line="340" w:lineRule="atLeast"/>
        <w:ind w:left="425"/>
        <w:jc w:val="both"/>
        <w:rPr>
          <w:szCs w:val="24"/>
          <w:lang w:eastAsia="hu-HU"/>
        </w:rPr>
      </w:pPr>
    </w:p>
    <w:p w:rsidR="00501DFE" w:rsidRDefault="006A3807">
      <w:pPr>
        <w:spacing w:before="360" w:line="340" w:lineRule="atLeast"/>
        <w:ind w:left="425"/>
        <w:jc w:val="center"/>
        <w:rPr>
          <w:b/>
          <w:szCs w:val="24"/>
        </w:rPr>
      </w:pPr>
      <w:r>
        <w:rPr>
          <w:b/>
          <w:szCs w:val="24"/>
        </w:rPr>
        <w:lastRenderedPageBreak/>
        <w:t>V.</w:t>
      </w:r>
    </w:p>
    <w:p w:rsidR="00501DFE" w:rsidRDefault="006A3807">
      <w:pPr>
        <w:pStyle w:val="bekezds"/>
        <w:rPr>
          <w:szCs w:val="24"/>
          <w:lang w:eastAsia="en-US"/>
        </w:rPr>
      </w:pPr>
      <w:r>
        <w:rPr>
          <w:szCs w:val="24"/>
          <w:lang w:eastAsia="en-US"/>
        </w:rPr>
        <w:t xml:space="preserve">A Kari Tanács az ELTE SZMSZ III. kötet FKR módosítására tett szenátusi/kancellári előterjesztést a mellékletben szereplő módosítási javaslatokkal 23 igen, 0 nem, 1 tartózkodással támogatta </w:t>
      </w:r>
    </w:p>
    <w:p w:rsidR="00501DFE" w:rsidRDefault="006A3807">
      <w:pPr>
        <w:spacing w:before="240" w:line="340" w:lineRule="atLeast"/>
        <w:ind w:left="425"/>
        <w:jc w:val="center"/>
        <w:rPr>
          <w:b/>
          <w:szCs w:val="24"/>
          <w:lang w:eastAsia="hu-HU"/>
        </w:rPr>
      </w:pPr>
      <w:r>
        <w:rPr>
          <w:b/>
          <w:szCs w:val="24"/>
          <w:lang w:eastAsia="hu-HU"/>
        </w:rPr>
        <w:t>VI.</w:t>
      </w:r>
    </w:p>
    <w:p w:rsidR="00501DFE" w:rsidRDefault="006A3807">
      <w:pPr>
        <w:spacing w:before="240" w:line="340" w:lineRule="atLeast"/>
        <w:ind w:left="425"/>
        <w:jc w:val="both"/>
        <w:rPr>
          <w:szCs w:val="24"/>
          <w:lang w:eastAsia="hu-HU"/>
        </w:rPr>
      </w:pPr>
      <w:r>
        <w:rPr>
          <w:szCs w:val="24"/>
          <w:lang w:eastAsia="hu-HU"/>
        </w:rPr>
        <w:t>A Kari Tanács egyhangúlag támogatta a TTK HÖK új Alapszabályán</w:t>
      </w:r>
      <w:r>
        <w:rPr>
          <w:szCs w:val="24"/>
          <w:lang w:eastAsia="hu-HU"/>
        </w:rPr>
        <w:t xml:space="preserve">ak tervezetét. </w:t>
      </w:r>
    </w:p>
    <w:p w:rsidR="00EF7054" w:rsidRDefault="00EF7054">
      <w:pPr>
        <w:pStyle w:val="Cmkzpre"/>
        <w:spacing w:before="360" w:after="0" w:line="200" w:lineRule="atLeast"/>
        <w:rPr>
          <w:szCs w:val="24"/>
          <w:lang w:eastAsia="en-US"/>
        </w:rPr>
      </w:pPr>
    </w:p>
    <w:p w:rsidR="00501DFE" w:rsidRDefault="006A3807">
      <w:pPr>
        <w:pStyle w:val="Cmkzpre"/>
        <w:spacing w:before="360" w:after="0" w:line="200" w:lineRule="atLeast"/>
        <w:rPr>
          <w:szCs w:val="24"/>
          <w:lang w:eastAsia="en-US"/>
        </w:rPr>
      </w:pPr>
      <w:bookmarkStart w:id="0" w:name="_GoBack"/>
      <w:bookmarkEnd w:id="0"/>
      <w:r>
        <w:rPr>
          <w:szCs w:val="24"/>
          <w:lang w:eastAsia="en-US"/>
        </w:rPr>
        <w:t>Bejelentések</w:t>
      </w:r>
    </w:p>
    <w:p w:rsidR="00501DFE" w:rsidRDefault="00501DFE">
      <w:pPr>
        <w:pStyle w:val="Cmkzpre"/>
        <w:spacing w:before="360" w:after="0" w:line="200" w:lineRule="atLeast"/>
        <w:rPr>
          <w:szCs w:val="24"/>
          <w:lang w:eastAsia="en-US"/>
        </w:rPr>
      </w:pPr>
    </w:p>
    <w:p w:rsidR="00501DFE" w:rsidRDefault="006A3807">
      <w:pPr>
        <w:pStyle w:val="Listaszerbekezds"/>
        <w:numPr>
          <w:ilvl w:val="0"/>
          <w:numId w:val="1"/>
        </w:numPr>
      </w:pPr>
      <w:r>
        <w:t xml:space="preserve">2015. március 15-én Széchenyi-Díjat kapott </w:t>
      </w:r>
      <w:r>
        <w:rPr>
          <w:b/>
          <w:bCs/>
        </w:rPr>
        <w:t xml:space="preserve">Frank András </w:t>
      </w:r>
      <w:r>
        <w:t>matematikus</w:t>
      </w:r>
      <w:r>
        <w:t xml:space="preserve"> és </w:t>
      </w:r>
      <w:r>
        <w:rPr>
          <w:b/>
          <w:bCs/>
        </w:rPr>
        <w:t>Rácz Zoltán</w:t>
      </w:r>
      <w:r>
        <w:t xml:space="preserve">  fizikus. A Magyar Érdemrend középkeresztjét kapta Závodszky Péter biofizikus. A Magyar Érdemrend tisztikeresztjét Érdi Bálint csillagász </w:t>
      </w:r>
      <w:r>
        <w:t>kap</w:t>
      </w:r>
      <w:r>
        <w:t>ta.</w:t>
      </w:r>
    </w:p>
    <w:p w:rsidR="00501DFE" w:rsidRDefault="00501DFE">
      <w:pPr>
        <w:pStyle w:val="Listaszerbekezds"/>
      </w:pPr>
    </w:p>
    <w:p w:rsidR="00501DFE" w:rsidRDefault="006A3807">
      <w:pPr>
        <w:pStyle w:val="Listaszerbekezds"/>
        <w:numPr>
          <w:ilvl w:val="0"/>
          <w:numId w:val="1"/>
        </w:numPr>
      </w:pPr>
      <w:r>
        <w:t>Herman Ottó-díjat kapott Vicsek Tamás fizikus és Vida Gábor biológus.</w:t>
      </w:r>
    </w:p>
    <w:p w:rsidR="00501DFE" w:rsidRDefault="006A3807">
      <w:pPr>
        <w:pStyle w:val="Listaszerbekezds"/>
        <w:numPr>
          <w:ilvl w:val="0"/>
          <w:numId w:val="1"/>
        </w:numPr>
        <w:suppressAutoHyphens w:val="0"/>
        <w:spacing w:beforeAutospacing="1" w:afterAutospacing="1"/>
        <w:rPr>
          <w:lang w:eastAsia="en-US"/>
        </w:rPr>
      </w:pPr>
      <w:r>
        <w:rPr>
          <w:lang w:eastAsia="en-US"/>
        </w:rPr>
        <w:t xml:space="preserve">Mihucz Viktor, </w:t>
      </w:r>
      <w:r>
        <w:rPr>
          <w:lang w:eastAsia="en-US"/>
        </w:rPr>
        <w:t xml:space="preserve">a Kari Tanács tagja, </w:t>
      </w:r>
      <w:r>
        <w:rPr>
          <w:lang w:eastAsia="en-US"/>
        </w:rPr>
        <w:t>átvette habilitációs oklevelét.</w:t>
      </w:r>
    </w:p>
    <w:p w:rsidR="00501DFE" w:rsidRDefault="006A3807">
      <w:pPr>
        <w:pStyle w:val="Listaszerbekezds"/>
        <w:numPr>
          <w:ilvl w:val="0"/>
          <w:numId w:val="1"/>
        </w:numPr>
        <w:suppressAutoHyphens w:val="0"/>
        <w:spacing w:beforeAutospacing="1" w:afterAutospacing="1"/>
        <w:rPr>
          <w:lang w:eastAsia="en-US"/>
        </w:rPr>
      </w:pPr>
      <w:r>
        <w:rPr>
          <w:lang w:eastAsia="en-US"/>
        </w:rPr>
        <w:t>Pálfia Zsolt bejelentette, hogy idén sor kerül 2015.május 16-án sor kerül az ELTE-s Majálisra az ELTE Vízi spor</w:t>
      </w:r>
      <w:r>
        <w:rPr>
          <w:lang w:eastAsia="en-US"/>
        </w:rPr>
        <w:t>t telepén</w:t>
      </w:r>
      <w:r w:rsidR="00EF7054">
        <w:rPr>
          <w:lang w:eastAsia="en-US"/>
        </w:rPr>
        <w:t>.</w:t>
      </w:r>
    </w:p>
    <w:p w:rsidR="00501DFE" w:rsidRDefault="006A3807">
      <w:pPr>
        <w:pStyle w:val="Listaszerbekezds"/>
        <w:suppressAutoHyphens w:val="0"/>
        <w:spacing w:beforeAutospacing="1" w:afterAutospacing="1" w:line="340" w:lineRule="atLeast"/>
        <w:ind w:left="720"/>
        <w:rPr>
          <w:lang w:eastAsia="en-US"/>
        </w:rPr>
      </w:pPr>
      <w:r>
        <w:rPr>
          <w:lang w:eastAsia="en-US"/>
        </w:rPr>
        <w:tab/>
      </w:r>
    </w:p>
    <w:p w:rsidR="00501DFE" w:rsidRDefault="00501DFE">
      <w:pPr>
        <w:spacing w:line="200" w:lineRule="atLeast"/>
        <w:ind w:left="360"/>
        <w:jc w:val="both"/>
        <w:rPr>
          <w:szCs w:val="24"/>
        </w:rPr>
      </w:pPr>
    </w:p>
    <w:p w:rsidR="00501DFE" w:rsidRDefault="006A3807">
      <w:pPr>
        <w:spacing w:line="200" w:lineRule="atLeast"/>
        <w:ind w:left="360"/>
        <w:jc w:val="center"/>
        <w:rPr>
          <w:szCs w:val="24"/>
        </w:rPr>
      </w:pPr>
      <w:r>
        <w:rPr>
          <w:szCs w:val="24"/>
        </w:rPr>
        <w:t>kmf.</w:t>
      </w:r>
    </w:p>
    <w:p w:rsidR="00501DFE" w:rsidRDefault="00501DFE">
      <w:pPr>
        <w:spacing w:line="200" w:lineRule="atLeast"/>
        <w:ind w:left="360"/>
        <w:jc w:val="center"/>
        <w:rPr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41"/>
        <w:gridCol w:w="4531"/>
      </w:tblGrid>
      <w:tr w:rsidR="00501DFE"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DFE" w:rsidRDefault="006A3807">
            <w:pPr>
              <w:pStyle w:val="alrsAndi"/>
              <w:spacing w:before="120" w:line="340" w:lineRule="atLeast"/>
              <w:ind w:left="0" w:firstLine="0"/>
              <w:rPr>
                <w:szCs w:val="24"/>
              </w:rPr>
            </w:pPr>
            <w:r>
              <w:rPr>
                <w:szCs w:val="24"/>
              </w:rPr>
              <w:t>Bíró Éva s.k.</w:t>
            </w:r>
            <w:r>
              <w:rPr>
                <w:szCs w:val="24"/>
              </w:rPr>
              <w:br/>
              <w:t>a KT helyettesítő titkára</w:t>
            </w:r>
          </w:p>
        </w:tc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DFE" w:rsidRDefault="006A3807">
            <w:pPr>
              <w:pStyle w:val="alrsAndi"/>
              <w:spacing w:before="120" w:line="340" w:lineRule="atLeast"/>
              <w:ind w:left="0" w:firstLine="0"/>
              <w:rPr>
                <w:szCs w:val="24"/>
              </w:rPr>
            </w:pPr>
            <w:r>
              <w:rPr>
                <w:szCs w:val="24"/>
              </w:rPr>
              <w:t>Surján Péter s.k.</w:t>
            </w:r>
            <w:r>
              <w:rPr>
                <w:szCs w:val="24"/>
              </w:rPr>
              <w:br/>
              <w:t>dékán</w:t>
            </w:r>
          </w:p>
        </w:tc>
      </w:tr>
    </w:tbl>
    <w:p w:rsidR="00501DFE" w:rsidRDefault="00501DFE">
      <w:pPr>
        <w:rPr>
          <w:szCs w:val="24"/>
        </w:rPr>
      </w:pPr>
    </w:p>
    <w:p w:rsidR="00501DFE" w:rsidRDefault="00501DFE">
      <w:pPr>
        <w:rPr>
          <w:szCs w:val="24"/>
        </w:rPr>
      </w:pPr>
    </w:p>
    <w:p w:rsidR="00501DFE" w:rsidRDefault="00501DFE"/>
    <w:sectPr w:rsidR="00501DFE">
      <w:footerReference w:type="default" r:id="rId7"/>
      <w:pgSz w:w="11906" w:h="16838"/>
      <w:pgMar w:top="993" w:right="1417" w:bottom="993" w:left="1417" w:header="0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807" w:rsidRDefault="006A3807">
      <w:r>
        <w:separator/>
      </w:r>
    </w:p>
  </w:endnote>
  <w:endnote w:type="continuationSeparator" w:id="0">
    <w:p w:rsidR="006A3807" w:rsidRDefault="006A3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enQuanYi Zen Hei Sharp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swiss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DFE" w:rsidRDefault="006A3807">
    <w:pPr>
      <w:pStyle w:val="llb"/>
    </w:pPr>
    <w:r>
      <w:tab/>
    </w:r>
    <w:r>
      <w:fldChar w:fldCharType="begin"/>
    </w:r>
    <w:r>
      <w:instrText>PAGE</w:instrText>
    </w:r>
    <w:r>
      <w:fldChar w:fldCharType="separate"/>
    </w:r>
    <w:r w:rsidR="00C5016F">
      <w:rPr>
        <w:noProof/>
      </w:rPr>
      <w:t>2</w:t>
    </w:r>
    <w:r>
      <w:fldChar w:fldCharType="end"/>
    </w:r>
  </w:p>
  <w:p w:rsidR="00501DFE" w:rsidRDefault="00501DFE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807" w:rsidRDefault="006A3807">
      <w:r>
        <w:separator/>
      </w:r>
    </w:p>
  </w:footnote>
  <w:footnote w:type="continuationSeparator" w:id="0">
    <w:p w:rsidR="006A3807" w:rsidRDefault="006A3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A539A9"/>
    <w:multiLevelType w:val="multilevel"/>
    <w:tmpl w:val="A99AF8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3512A48"/>
    <w:multiLevelType w:val="multilevel"/>
    <w:tmpl w:val="A6324DF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DFE"/>
    <w:rsid w:val="00501DFE"/>
    <w:rsid w:val="00550A05"/>
    <w:rsid w:val="006A3807"/>
    <w:rsid w:val="00C5016F"/>
    <w:rsid w:val="00E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AB5267-5F76-4E0F-A010-BF16FB9B1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WenQuanYi Zen Hei Sharp" w:hAnsi="Calibri" w:cs="Calibri"/>
        <w:sz w:val="22"/>
        <w:szCs w:val="22"/>
        <w:lang w:val="hu-H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51B6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sakszvegChar">
    <w:name w:val="Csak szöveg Char"/>
    <w:basedOn w:val="Bekezdsalapbettpusa"/>
    <w:link w:val="Csakszveg"/>
    <w:uiPriority w:val="99"/>
    <w:semiHidden/>
    <w:rsid w:val="00A751B6"/>
    <w:rPr>
      <w:rFonts w:ascii="Calibri" w:hAnsi="Calibri"/>
      <w:szCs w:val="21"/>
    </w:rPr>
  </w:style>
  <w:style w:type="character" w:customStyle="1" w:styleId="llbChar">
    <w:name w:val="Élőláb Char"/>
    <w:basedOn w:val="Bekezdsalapbettpusa"/>
    <w:uiPriority w:val="99"/>
    <w:rsid w:val="00A751B6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D1CCF"/>
    <w:rPr>
      <w:rFonts w:ascii="Segoe UI" w:eastAsia="Times New Roman" w:hAnsi="Segoe UI" w:cs="Segoe UI"/>
      <w:sz w:val="18"/>
      <w:szCs w:val="18"/>
      <w:lang w:eastAsia="zh-CN"/>
    </w:rPr>
  </w:style>
  <w:style w:type="character" w:styleId="Kiemels2">
    <w:name w:val="Strong"/>
    <w:basedOn w:val="Bekezdsalapbettpusa"/>
    <w:uiPriority w:val="22"/>
    <w:qFormat/>
    <w:rsid w:val="00044EEC"/>
    <w:rPr>
      <w:b/>
      <w:bCs/>
    </w:rPr>
  </w:style>
  <w:style w:type="character" w:customStyle="1" w:styleId="InternetLink">
    <w:name w:val="Internet Link"/>
    <w:basedOn w:val="Bekezdsalapbettpusa"/>
    <w:uiPriority w:val="99"/>
    <w:unhideWhenUsed/>
    <w:rsid w:val="00044EEC"/>
    <w:rPr>
      <w:color w:val="0000FF"/>
      <w:u w:val="single"/>
    </w:rPr>
  </w:style>
  <w:style w:type="character" w:customStyle="1" w:styleId="Bekezds1Char">
    <w:name w:val="Bekezdés1 Char"/>
    <w:basedOn w:val="Bekezdsalapbettpusa"/>
    <w:link w:val="Bekezds1"/>
    <w:uiPriority w:val="99"/>
    <w:rsid w:val="00B177ED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eastAsia="Times New Roman" w:cs="Times New Roman"/>
    </w:rPr>
  </w:style>
  <w:style w:type="character" w:customStyle="1" w:styleId="ListLabel4">
    <w:name w:val="ListLabel 4"/>
    <w:rPr>
      <w:sz w:val="20"/>
    </w:rPr>
  </w:style>
  <w:style w:type="character" w:customStyle="1" w:styleId="ListLabel5">
    <w:name w:val="ListLabel 5"/>
    <w:rPr>
      <w:rFonts w:cs="Symbol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Wingdings"/>
    </w:rPr>
  </w:style>
  <w:style w:type="paragraph" w:customStyle="1" w:styleId="Heading">
    <w:name w:val="Heading"/>
    <w:basedOn w:val="Norml"/>
    <w:next w:val="TextBody"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customStyle="1" w:styleId="TextBody">
    <w:name w:val="Text Body"/>
    <w:basedOn w:val="Norml"/>
    <w:pPr>
      <w:spacing w:after="140" w:line="288" w:lineRule="auto"/>
    </w:pPr>
  </w:style>
  <w:style w:type="paragraph" w:styleId="Lista">
    <w:name w:val="List"/>
    <w:basedOn w:val="TextBody"/>
    <w:rPr>
      <w:rFonts w:cs="Lohit Devanagari"/>
    </w:rPr>
  </w:style>
  <w:style w:type="paragraph" w:styleId="Kpalrs">
    <w:name w:val="caption"/>
    <w:basedOn w:val="Norml"/>
    <w:pPr>
      <w:suppressLineNumbers/>
      <w:spacing w:before="120" w:after="120"/>
    </w:pPr>
    <w:rPr>
      <w:rFonts w:cs="Lohit Devanagari"/>
      <w:i/>
      <w:iCs/>
      <w:szCs w:val="24"/>
    </w:rPr>
  </w:style>
  <w:style w:type="paragraph" w:customStyle="1" w:styleId="Index">
    <w:name w:val="Index"/>
    <w:basedOn w:val="Norml"/>
    <w:pPr>
      <w:suppressLineNumbers/>
    </w:pPr>
    <w:rPr>
      <w:rFonts w:cs="Lohit Devanagari"/>
    </w:rPr>
  </w:style>
  <w:style w:type="paragraph" w:customStyle="1" w:styleId="Cmkzpre">
    <w:name w:val="Cím középre"/>
    <w:basedOn w:val="Norml"/>
    <w:rsid w:val="00A751B6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A751B6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A751B6"/>
    <w:pPr>
      <w:spacing w:before="240"/>
      <w:ind w:firstLine="425"/>
      <w:jc w:val="both"/>
    </w:pPr>
  </w:style>
  <w:style w:type="paragraph" w:customStyle="1" w:styleId="fejlc">
    <w:name w:val="fejléc"/>
    <w:basedOn w:val="Norml"/>
    <w:rsid w:val="00A751B6"/>
    <w:pPr>
      <w:spacing w:before="2280" w:after="360"/>
    </w:pPr>
  </w:style>
  <w:style w:type="paragraph" w:styleId="Csakszveg">
    <w:name w:val="Plain Text"/>
    <w:basedOn w:val="Norml"/>
    <w:link w:val="CsakszvegChar"/>
    <w:uiPriority w:val="99"/>
    <w:semiHidden/>
    <w:unhideWhenUsed/>
    <w:rsid w:val="00A751B6"/>
    <w:pPr>
      <w:suppressAutoHyphens w:val="0"/>
    </w:pPr>
    <w:rPr>
      <w:rFonts w:ascii="Calibri" w:hAnsi="Calibri" w:cs="Calibri"/>
      <w:sz w:val="22"/>
      <w:szCs w:val="21"/>
      <w:lang w:eastAsia="en-US"/>
    </w:rPr>
  </w:style>
  <w:style w:type="paragraph" w:styleId="llb">
    <w:name w:val="footer"/>
    <w:basedOn w:val="Norml"/>
    <w:uiPriority w:val="99"/>
    <w:unhideWhenUsed/>
    <w:rsid w:val="00A751B6"/>
    <w:pPr>
      <w:tabs>
        <w:tab w:val="center" w:pos="4536"/>
        <w:tab w:val="right" w:pos="9072"/>
      </w:tabs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2D1CCF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A9166A"/>
    <w:pPr>
      <w:ind w:left="708"/>
    </w:pPr>
    <w:rPr>
      <w:szCs w:val="24"/>
    </w:rPr>
  </w:style>
  <w:style w:type="paragraph" w:styleId="NormlWeb">
    <w:name w:val="Normal (Web)"/>
    <w:basedOn w:val="Norml"/>
    <w:uiPriority w:val="99"/>
    <w:rsid w:val="00F61EC5"/>
    <w:pPr>
      <w:spacing w:before="280" w:after="119"/>
    </w:pPr>
  </w:style>
  <w:style w:type="paragraph" w:customStyle="1" w:styleId="Bekezds1">
    <w:name w:val="Bekezdés1"/>
    <w:basedOn w:val="Norml"/>
    <w:link w:val="Bekezds1Char"/>
    <w:uiPriority w:val="99"/>
    <w:rsid w:val="00B177ED"/>
    <w:pPr>
      <w:suppressAutoHyphens w:val="0"/>
      <w:spacing w:before="240"/>
      <w:ind w:firstLine="397"/>
      <w:jc w:val="both"/>
    </w:pPr>
    <w:rPr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Bíró Éva</cp:lastModifiedBy>
  <cp:revision>2</cp:revision>
  <cp:lastPrinted>2015-01-21T06:52:00Z</cp:lastPrinted>
  <dcterms:created xsi:type="dcterms:W3CDTF">2015-03-23T06:42:00Z</dcterms:created>
  <dcterms:modified xsi:type="dcterms:W3CDTF">2015-03-23T06:42:00Z</dcterms:modified>
  <dc:language>hu-HU</dc:language>
</cp:coreProperties>
</file>