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D0D" w:rsidRPr="00070D0D" w:rsidRDefault="00300070" w:rsidP="00070D0D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Határozat</w:t>
      </w:r>
      <w:r w:rsidR="00070D0D" w:rsidRPr="00070D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Eötvös Tudományos Konferencia rendezvényr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ől</w:t>
      </w:r>
    </w:p>
    <w:p w:rsidR="00070D0D" w:rsidRPr="00070D0D" w:rsidRDefault="00300070" w:rsidP="00070D0D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Kari Tanács támogatja </w:t>
      </w:r>
      <w:r w:rsidR="00070D0D"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a „</w:t>
      </w:r>
      <w:r w:rsidR="00070D0D">
        <w:rPr>
          <w:rFonts w:ascii="Times New Roman" w:eastAsia="Calibri" w:hAnsi="Times New Roman" w:cs="Times New Roman"/>
          <w:b/>
          <w:i/>
          <w:sz w:val="24"/>
          <w:szCs w:val="24"/>
        </w:rPr>
        <w:t>17th International Congress of the Hungarian Society for Microbiology</w:t>
      </w:r>
      <w:r w:rsidR="00070D0D"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” Konferencia</w:t>
      </w:r>
      <w:r w:rsidR="00070D0D" w:rsidRPr="00070D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0D0D"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felvételé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t</w:t>
      </w:r>
      <w:r w:rsidR="00070D0D"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0D0D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>
        <w:rPr>
          <w:rFonts w:ascii="Times New Roman" w:eastAsia="Calibri" w:hAnsi="Times New Roman" w:cs="Times New Roman"/>
          <w:sz w:val="24"/>
          <w:szCs w:val="24"/>
        </w:rPr>
        <w:t>: 2015. július 8-10.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0D0D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070D0D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1/A.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D0D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070D0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Magyar Mikrobiológiai Társaság, ELTE TTK, Magyar Immunológiai Társaság, Magyar Mikrobiológiai Társaság Alapítványa </w:t>
      </w:r>
    </w:p>
    <w:p w:rsidR="00070D0D" w:rsidRPr="00070D0D" w:rsidRDefault="00070D0D" w:rsidP="00070D0D">
      <w:pPr>
        <w:suppressAutoHyphens/>
        <w:spacing w:after="0" w:line="240" w:lineRule="auto"/>
        <w:jc w:val="both"/>
        <w:rPr>
          <w:rFonts w:ascii="Times New Roman" w:eastAsia="Times New Roman" w:hAnsi="Times New Roman" w:cs="Arial Unicode MS"/>
          <w:sz w:val="24"/>
          <w:szCs w:val="24"/>
          <w:lang w:eastAsia="zh-CN"/>
        </w:rPr>
      </w:pP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070D0D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070D0D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070D0D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070D0D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070D0D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070D0D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Arial Unicode MS"/>
          <w:sz w:val="24"/>
          <w:szCs w:val="24"/>
          <w:lang w:eastAsia="zh-CN"/>
        </w:rPr>
        <w:t xml:space="preserve">meg: </w:t>
      </w:r>
      <w:r>
        <w:rPr>
          <w:rFonts w:ascii="Times New Roman" w:eastAsia="Times New Roman" w:hAnsi="Times New Roman" w:cs="Arial Unicode MS"/>
          <w:sz w:val="24"/>
          <w:szCs w:val="24"/>
          <w:lang w:eastAsia="zh-CN"/>
        </w:rPr>
        <w:t>www.mmt.org.hu</w:t>
      </w:r>
    </w:p>
    <w:p w:rsidR="00070D0D" w:rsidRDefault="00070D0D" w:rsidP="00070D0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0D" w:rsidRDefault="00070D0D" w:rsidP="00070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C67A00" w:rsidRDefault="005A0A90" w:rsidP="00070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A Magyar Mikrobiológiai Társaság a mikrobiológia fejlesztésének érdekében szerteágazó tevékenységet végez. A Társaság </w:t>
      </w:r>
      <w:r w:rsidR="00295D83">
        <w:rPr>
          <w:rFonts w:ascii="Times New Roman" w:eastAsia="Calibri" w:hAnsi="Times New Roman" w:cs="Times New Roman"/>
          <w:sz w:val="24"/>
          <w:szCs w:val="24"/>
        </w:rPr>
        <w:t>két</w:t>
      </w:r>
      <w:r w:rsidR="002D58F3">
        <w:rPr>
          <w:rFonts w:ascii="Times New Roman" w:eastAsia="Calibri" w:hAnsi="Times New Roman" w:cs="Times New Roman"/>
          <w:sz w:val="24"/>
          <w:szCs w:val="24"/>
        </w:rPr>
        <w:t>évenként nemzetközi konferenciát is szervez. A két évvel ezelőtt</w:t>
      </w:r>
      <w:r w:rsidR="00C67A00">
        <w:rPr>
          <w:rFonts w:ascii="Times New Roman" w:eastAsia="Calibri" w:hAnsi="Times New Roman" w:cs="Times New Roman"/>
          <w:sz w:val="24"/>
          <w:szCs w:val="24"/>
        </w:rPr>
        <w:t>i,</w:t>
      </w:r>
      <w:r w:rsidR="002D58F3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="002D58F3" w:rsidRPr="006E35CA">
        <w:rPr>
          <w:rFonts w:ascii="Times New Roman" w:eastAsia="Calibri" w:hAnsi="Times New Roman" w:cs="Times New Roman"/>
          <w:i/>
          <w:sz w:val="24"/>
          <w:szCs w:val="24"/>
        </w:rPr>
        <w:t>4th Central European Forum for Microbiology</w:t>
      </w:r>
      <w:r w:rsidR="002D58F3">
        <w:rPr>
          <w:rFonts w:ascii="Times New Roman" w:eastAsia="Calibri" w:hAnsi="Times New Roman" w:cs="Times New Roman"/>
          <w:sz w:val="24"/>
          <w:szCs w:val="24"/>
        </w:rPr>
        <w:t xml:space="preserve"> (CEFORM; a</w:t>
      </w:r>
      <w:r w:rsidR="00C67A00">
        <w:rPr>
          <w:rFonts w:ascii="Times New Roman" w:eastAsia="Calibri" w:hAnsi="Times New Roman" w:cs="Times New Roman"/>
          <w:sz w:val="24"/>
          <w:szCs w:val="24"/>
        </w:rPr>
        <w:t xml:space="preserve"> Horvát Mikrobiológiai</w:t>
      </w:r>
      <w:r w:rsidR="002D58F3">
        <w:rPr>
          <w:rFonts w:ascii="Times New Roman" w:eastAsia="Calibri" w:hAnsi="Times New Roman" w:cs="Times New Roman"/>
          <w:sz w:val="24"/>
          <w:szCs w:val="24"/>
        </w:rPr>
        <w:t xml:space="preserve"> Társasággal közösen) jónéhány</w:t>
      </w:r>
      <w:r w:rsidR="00C67A00">
        <w:rPr>
          <w:rFonts w:ascii="Times New Roman" w:eastAsia="Calibri" w:hAnsi="Times New Roman" w:cs="Times New Roman"/>
          <w:sz w:val="24"/>
          <w:szCs w:val="24"/>
        </w:rPr>
        <w:t xml:space="preserve"> k</w:t>
      </w:r>
      <w:r w:rsidR="002D58F3">
        <w:rPr>
          <w:rFonts w:ascii="Times New Roman" w:eastAsia="Calibri" w:hAnsi="Times New Roman" w:cs="Times New Roman"/>
          <w:sz w:val="24"/>
          <w:szCs w:val="24"/>
        </w:rPr>
        <w:t xml:space="preserve">özép-európai </w:t>
      </w:r>
      <w:r w:rsidR="00C67A00">
        <w:rPr>
          <w:rFonts w:ascii="Times New Roman" w:eastAsia="Calibri" w:hAnsi="Times New Roman" w:cs="Times New Roman"/>
          <w:sz w:val="24"/>
          <w:szCs w:val="24"/>
        </w:rPr>
        <w:t>országból vonzott</w:t>
      </w:r>
      <w:r w:rsidR="002D58F3">
        <w:rPr>
          <w:rFonts w:ascii="Times New Roman" w:eastAsia="Calibri" w:hAnsi="Times New Roman" w:cs="Times New Roman"/>
          <w:sz w:val="24"/>
          <w:szCs w:val="24"/>
        </w:rPr>
        <w:t xml:space="preserve"> résztvevőket. </w:t>
      </w:r>
      <w:r w:rsidR="00E14AC9">
        <w:rPr>
          <w:rFonts w:ascii="Times New Roman" w:eastAsia="Calibri" w:hAnsi="Times New Roman" w:cs="Times New Roman"/>
          <w:sz w:val="24"/>
          <w:szCs w:val="24"/>
        </w:rPr>
        <w:t>Az idei</w:t>
      </w:r>
      <w:r w:rsidR="00C67A00">
        <w:rPr>
          <w:rFonts w:ascii="Times New Roman" w:eastAsia="Calibri" w:hAnsi="Times New Roman" w:cs="Times New Roman"/>
          <w:sz w:val="24"/>
          <w:szCs w:val="24"/>
        </w:rPr>
        <w:t xml:space="preserve"> konferenciára a szervezők mintegy 300 résztvevőt várnak itthonról és a világ mikrobiológus közösségéből.  </w:t>
      </w:r>
    </w:p>
    <w:p w:rsidR="00C67A00" w:rsidRDefault="00C67A00" w:rsidP="00070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A konferencia szervezői között több ELTE oktató</w:t>
      </w:r>
      <w:r w:rsidR="006E35CA">
        <w:rPr>
          <w:rFonts w:ascii="Times New Roman" w:eastAsia="Calibri" w:hAnsi="Times New Roman" w:cs="Times New Roman"/>
          <w:sz w:val="24"/>
          <w:szCs w:val="24"/>
        </w:rPr>
        <w:t>, kutató</w:t>
      </w:r>
      <w:r>
        <w:rPr>
          <w:rFonts w:ascii="Times New Roman" w:eastAsia="Calibri" w:hAnsi="Times New Roman" w:cs="Times New Roman"/>
          <w:sz w:val="24"/>
          <w:szCs w:val="24"/>
        </w:rPr>
        <w:t xml:space="preserve"> is található: Borsodi Andrea, Kovács M. Gábor, Márialigeti Károly, és a külföldi kollégák mellett másik három tudományegyetem vezető mikrobiológusai.</w:t>
      </w:r>
    </w:p>
    <w:p w:rsidR="001634A2" w:rsidRDefault="001634A2" w:rsidP="00070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34A2" w:rsidRPr="001634A2" w:rsidRDefault="001634A2" w:rsidP="00070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634A2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1634A2" w:rsidRDefault="001634A2" w:rsidP="00070D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A konferencia hivatalos nyelve az angol. A tudományos rendezvényen </w:t>
      </w:r>
      <w:r w:rsidR="00D41F5D">
        <w:rPr>
          <w:rFonts w:ascii="Times New Roman" w:eastAsia="Calibri" w:hAnsi="Times New Roman" w:cs="Times New Roman"/>
          <w:sz w:val="24"/>
          <w:szCs w:val="24"/>
        </w:rPr>
        <w:t>plenáris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és szób</w:t>
      </w:r>
      <w:r w:rsidR="00547437">
        <w:rPr>
          <w:rFonts w:ascii="Times New Roman" w:eastAsia="Calibri" w:hAnsi="Times New Roman" w:cs="Times New Roman"/>
          <w:sz w:val="24"/>
          <w:szCs w:val="24"/>
        </w:rPr>
        <w:t>eli előadások, valamint poszter</w:t>
      </w:r>
      <w:r w:rsidR="000474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bemutatók </w:t>
      </w:r>
      <w:r w:rsidR="00547437">
        <w:rPr>
          <w:rFonts w:ascii="Times New Roman" w:eastAsia="Calibri" w:hAnsi="Times New Roman" w:cs="Times New Roman"/>
          <w:sz w:val="24"/>
          <w:szCs w:val="24"/>
        </w:rPr>
        <w:t xml:space="preserve">is </w:t>
      </w:r>
      <w:r w:rsidR="00A4694D">
        <w:rPr>
          <w:rFonts w:ascii="Times New Roman" w:eastAsia="Calibri" w:hAnsi="Times New Roman" w:cs="Times New Roman"/>
          <w:sz w:val="24"/>
          <w:szCs w:val="24"/>
        </w:rPr>
        <w:t>lesznek.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70D0D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ab/>
      </w:r>
    </w:p>
    <w:p w:rsid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A konferencia témái:</w:t>
      </w:r>
    </w:p>
    <w:p w:rsidR="002168A3" w:rsidRPr="002168A3" w:rsidRDefault="002168A3" w:rsidP="002168A3">
      <w:pPr>
        <w:pStyle w:val="Default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  <w:i/>
          <w:iCs/>
        </w:rPr>
        <w:t xml:space="preserve">Agricultural Microbiology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Soil – plant – animal - microbe interactions in crop production (including GMO-s)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Forestry microbiology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Bio-indication and bio-sensorics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Biotization, rhizosphere and phyllosphere technology </w:t>
      </w:r>
    </w:p>
    <w:p w:rsidR="002168A3" w:rsidRDefault="002168A3" w:rsidP="00216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8A3">
        <w:rPr>
          <w:rFonts w:ascii="Times New Roman" w:hAnsi="Times New Roman" w:cs="Times New Roman"/>
          <w:sz w:val="24"/>
          <w:szCs w:val="24"/>
        </w:rPr>
        <w:t>Simulation modelling</w:t>
      </w:r>
    </w:p>
    <w:p w:rsidR="002168A3" w:rsidRDefault="002168A3" w:rsidP="00216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8A3" w:rsidRPr="002168A3" w:rsidRDefault="002168A3" w:rsidP="002168A3">
      <w:pPr>
        <w:pStyle w:val="Default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  <w:i/>
          <w:iCs/>
        </w:rPr>
        <w:t xml:space="preserve">Bacteriology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Molecular biology and physiology of bacteria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Human and veterinary pathogens and pathogenesis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Traditional and molecular diagnostic methods, vaccination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Genetic background and mechanisms of antimicrobial resistance </w:t>
      </w:r>
    </w:p>
    <w:p w:rsidR="002168A3" w:rsidRDefault="002168A3" w:rsidP="00216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8A3">
        <w:rPr>
          <w:rFonts w:ascii="Times New Roman" w:hAnsi="Times New Roman" w:cs="Times New Roman"/>
          <w:sz w:val="24"/>
          <w:szCs w:val="24"/>
        </w:rPr>
        <w:t>Bacteriophages</w:t>
      </w:r>
    </w:p>
    <w:p w:rsidR="002168A3" w:rsidRDefault="002168A3" w:rsidP="00216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68A3" w:rsidRPr="002168A3" w:rsidRDefault="002168A3" w:rsidP="002168A3">
      <w:pPr>
        <w:pStyle w:val="Default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  <w:i/>
          <w:iCs/>
        </w:rPr>
        <w:t xml:space="preserve">Clinical Microbiology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Case reports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Possibilities and restrictions in gene therapy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Diagnostic methods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STD-STI (syphilis, HIV/AIDS, genital herpes, HPV, </w:t>
      </w:r>
      <w:r w:rsidRPr="002168A3">
        <w:rPr>
          <w:rFonts w:ascii="Times New Roman" w:hAnsi="Times New Roman" w:cs="Times New Roman"/>
          <w:i/>
          <w:iCs/>
        </w:rPr>
        <w:t xml:space="preserve">Chlamydia </w:t>
      </w:r>
      <w:r w:rsidRPr="002168A3">
        <w:rPr>
          <w:rFonts w:ascii="Times New Roman" w:hAnsi="Times New Roman" w:cs="Times New Roman"/>
        </w:rPr>
        <w:t xml:space="preserve">infections)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Microbial interactions </w:t>
      </w:r>
    </w:p>
    <w:p w:rsidR="002168A3" w:rsidRDefault="002168A3" w:rsidP="00D41F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8A3">
        <w:rPr>
          <w:rFonts w:ascii="Times New Roman" w:hAnsi="Times New Roman" w:cs="Times New Roman"/>
          <w:sz w:val="24"/>
          <w:szCs w:val="24"/>
        </w:rPr>
        <w:t>Beta-lactamase resistance in the clinical praxis</w:t>
      </w:r>
    </w:p>
    <w:p w:rsidR="002168A3" w:rsidRDefault="002168A3" w:rsidP="002168A3">
      <w:pPr>
        <w:pStyle w:val="Default"/>
        <w:rPr>
          <w:i/>
          <w:iCs/>
          <w:sz w:val="20"/>
          <w:szCs w:val="20"/>
        </w:rPr>
      </w:pPr>
    </w:p>
    <w:p w:rsidR="002168A3" w:rsidRPr="002168A3" w:rsidRDefault="002168A3" w:rsidP="002168A3">
      <w:pPr>
        <w:pStyle w:val="Default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  <w:i/>
          <w:iCs/>
        </w:rPr>
        <w:lastRenderedPageBreak/>
        <w:t xml:space="preserve">Environmental Microbiology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Microbial taxonomy in the genomic era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Ecology, function and interactions of microbial communities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Biodiversity and adaptation of extremophiles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Metagenomics in the environmental microbiology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Biogeochemical cycles and climate change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Microbial ecology of artificial and polluted environments </w:t>
      </w:r>
    </w:p>
    <w:p w:rsidR="002168A3" w:rsidRDefault="002168A3" w:rsidP="002168A3">
      <w:pPr>
        <w:pStyle w:val="Default"/>
        <w:rPr>
          <w:i/>
          <w:iCs/>
          <w:sz w:val="20"/>
          <w:szCs w:val="20"/>
        </w:rPr>
      </w:pPr>
    </w:p>
    <w:p w:rsidR="002168A3" w:rsidRPr="002168A3" w:rsidRDefault="002168A3" w:rsidP="002168A3">
      <w:pPr>
        <w:pStyle w:val="Default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  <w:i/>
          <w:iCs/>
        </w:rPr>
        <w:t xml:space="preserve">Food Microbiology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Improvement of microbiological safety of foods,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Food safety and agricultural raw materials, microbiological risk assessment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Rapid microbiological methods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Pro- and prebiotics, biopreservation </w:t>
      </w:r>
    </w:p>
    <w:p w:rsidR="002168A3" w:rsidRPr="002168A3" w:rsidRDefault="002168A3" w:rsidP="002168A3">
      <w:pPr>
        <w:pStyle w:val="Default"/>
        <w:ind w:firstLine="708"/>
        <w:rPr>
          <w:rFonts w:ascii="Times New Roman" w:hAnsi="Times New Roman" w:cs="Times New Roman"/>
        </w:rPr>
      </w:pPr>
      <w:r w:rsidRPr="002168A3">
        <w:rPr>
          <w:rFonts w:ascii="Times New Roman" w:hAnsi="Times New Roman" w:cs="Times New Roman"/>
        </w:rPr>
        <w:t xml:space="preserve">Microbial interactions </w:t>
      </w:r>
    </w:p>
    <w:p w:rsidR="002168A3" w:rsidRDefault="002168A3" w:rsidP="00216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8A3">
        <w:rPr>
          <w:rFonts w:ascii="Times New Roman" w:hAnsi="Times New Roman" w:cs="Times New Roman"/>
          <w:sz w:val="24"/>
          <w:szCs w:val="24"/>
        </w:rPr>
        <w:t>Stress adaptation of food microbes, “new” spore formers in foods</w:t>
      </w:r>
    </w:p>
    <w:p w:rsidR="00A867B0" w:rsidRDefault="00A867B0" w:rsidP="00216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7B0" w:rsidRPr="00A867B0" w:rsidRDefault="00A867B0" w:rsidP="00A867B0">
      <w:pPr>
        <w:pStyle w:val="Default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  <w:i/>
          <w:iCs/>
        </w:rPr>
        <w:t xml:space="preserve">Immunology and Parasitology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Infection and immunity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Immunogenetics, immunodiagnostics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Control of infectious diseases: vaccination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Host-parasite interactions, new and emerging parasitic diseases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Helminthology, and protozoal diseases, taxonomic questions of parasites </w:t>
      </w:r>
    </w:p>
    <w:p w:rsidR="00A867B0" w:rsidRDefault="00A867B0" w:rsidP="00A867B0">
      <w:pPr>
        <w:pStyle w:val="Default"/>
        <w:rPr>
          <w:i/>
          <w:iCs/>
          <w:sz w:val="20"/>
          <w:szCs w:val="20"/>
        </w:rPr>
      </w:pPr>
    </w:p>
    <w:p w:rsidR="00A867B0" w:rsidRPr="00A867B0" w:rsidRDefault="00A867B0" w:rsidP="00A867B0">
      <w:pPr>
        <w:pStyle w:val="Default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  <w:i/>
          <w:iCs/>
        </w:rPr>
        <w:t xml:space="preserve">Industrial Microbiology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Microbial fermentations and bioconversions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Microbial processes for food, beverages, aroma and feed </w:t>
      </w:r>
    </w:p>
    <w:p w:rsidR="00A867B0" w:rsidRPr="00A867B0" w:rsidRDefault="00A867B0" w:rsidP="00A867B0">
      <w:pPr>
        <w:pStyle w:val="Default"/>
        <w:ind w:left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Directed evolution of enzymes for applied biocatalysis, biochemical engineering Molecular physiology of metabolite overproduction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Bioreactor design, modelling, non-microbial fermentations </w:t>
      </w:r>
    </w:p>
    <w:p w:rsidR="00A867B0" w:rsidRPr="00A867B0" w:rsidRDefault="00A867B0" w:rsidP="00A867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7B0">
        <w:rPr>
          <w:rFonts w:ascii="Times New Roman" w:hAnsi="Times New Roman" w:cs="Times New Roman"/>
          <w:sz w:val="24"/>
          <w:szCs w:val="24"/>
        </w:rPr>
        <w:t>Fermentation analytics, control and regulation</w:t>
      </w:r>
    </w:p>
    <w:p w:rsidR="002168A3" w:rsidRDefault="002168A3" w:rsidP="002168A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67B0" w:rsidRPr="00A867B0" w:rsidRDefault="00A867B0" w:rsidP="00A867B0">
      <w:pPr>
        <w:pStyle w:val="Default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  <w:i/>
          <w:iCs/>
        </w:rPr>
        <w:t xml:space="preserve">Mycology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Evolution and systematics of fungi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Physiology, genetics and molecular biology of fungi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Fungi as pathogens, diagnostic methods in mycology, epidemiology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The organization of the fungal genome, taxonomy of yeasts and fungi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Applied mycology </w:t>
      </w:r>
    </w:p>
    <w:p w:rsidR="00A867B0" w:rsidRDefault="00A867B0" w:rsidP="00A867B0">
      <w:pPr>
        <w:pStyle w:val="Default"/>
        <w:rPr>
          <w:i/>
          <w:iCs/>
          <w:sz w:val="20"/>
          <w:szCs w:val="20"/>
        </w:rPr>
      </w:pPr>
    </w:p>
    <w:p w:rsidR="00A867B0" w:rsidRPr="00A867B0" w:rsidRDefault="00A867B0" w:rsidP="00A867B0">
      <w:pPr>
        <w:pStyle w:val="Default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  <w:i/>
          <w:iCs/>
        </w:rPr>
        <w:t xml:space="preserve">Virology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All aspects of human, animal and plant viruses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Evolution of viruses, molecular virology, tumour inducing viruses </w:t>
      </w:r>
    </w:p>
    <w:p w:rsidR="00A867B0" w:rsidRPr="00A867B0" w:rsidRDefault="00A867B0" w:rsidP="00A867B0">
      <w:pPr>
        <w:pStyle w:val="Default"/>
        <w:ind w:left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Pathogenesis of virus diseases, virus-host interaction </w:t>
      </w:r>
    </w:p>
    <w:p w:rsidR="00A867B0" w:rsidRPr="00A867B0" w:rsidRDefault="00A867B0" w:rsidP="00A867B0">
      <w:pPr>
        <w:pStyle w:val="Default"/>
        <w:ind w:firstLine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Diagnostics of viral diseases </w:t>
      </w:r>
    </w:p>
    <w:p w:rsidR="00A867B0" w:rsidRPr="00A867B0" w:rsidRDefault="00A867B0" w:rsidP="00A867B0">
      <w:pPr>
        <w:pStyle w:val="Default"/>
        <w:ind w:left="708"/>
        <w:rPr>
          <w:rFonts w:ascii="Times New Roman" w:hAnsi="Times New Roman" w:cs="Times New Roman"/>
        </w:rPr>
      </w:pPr>
      <w:r w:rsidRPr="00A867B0">
        <w:rPr>
          <w:rFonts w:ascii="Times New Roman" w:hAnsi="Times New Roman" w:cs="Times New Roman"/>
        </w:rPr>
        <w:t xml:space="preserve">Novel endogenic and exogenic retroviruses in the pathogenesis of human diseases, aging and viruses </w:t>
      </w:r>
    </w:p>
    <w:p w:rsidR="00A867B0" w:rsidRDefault="00A867B0" w:rsidP="00A867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7B0">
        <w:rPr>
          <w:rFonts w:ascii="Times New Roman" w:hAnsi="Times New Roman" w:cs="Times New Roman"/>
          <w:sz w:val="24"/>
          <w:szCs w:val="24"/>
        </w:rPr>
        <w:t>Vaccination and therapy, bioterrorism</w:t>
      </w:r>
    </w:p>
    <w:p w:rsidR="00A867B0" w:rsidRDefault="00A867B0" w:rsidP="00A867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4771" w:rsidRDefault="006A3463" w:rsidP="00A867B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A3463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előzetes programja:</w:t>
      </w:r>
    </w:p>
    <w:p w:rsidR="00D84771" w:rsidRDefault="00D84771" w:rsidP="00A867B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960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3145"/>
        <w:gridCol w:w="55"/>
        <w:gridCol w:w="3202"/>
      </w:tblGrid>
      <w:tr w:rsidR="006A3463" w:rsidTr="006A3463">
        <w:trPr>
          <w:trHeight w:val="246"/>
        </w:trPr>
        <w:tc>
          <w:tcPr>
            <w:tcW w:w="3200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July 7, 2015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(Tuesday) </w:t>
            </w:r>
          </w:p>
        </w:tc>
        <w:tc>
          <w:tcPr>
            <w:tcW w:w="3200" w:type="dxa"/>
            <w:gridSpan w:val="2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Afternoon from 4 pm - 7 p.m. </w:t>
            </w:r>
          </w:p>
        </w:tc>
        <w:tc>
          <w:tcPr>
            <w:tcW w:w="3202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Arrival and registration </w:t>
            </w:r>
          </w:p>
        </w:tc>
      </w:tr>
      <w:tr w:rsidR="006A3463" w:rsidTr="006A3463">
        <w:trPr>
          <w:trHeight w:val="1168"/>
        </w:trPr>
        <w:tc>
          <w:tcPr>
            <w:tcW w:w="3200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lastRenderedPageBreak/>
              <w:t xml:space="preserve">July 8, 2015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(Wednesday) </w:t>
            </w:r>
          </w:p>
        </w:tc>
        <w:tc>
          <w:tcPr>
            <w:tcW w:w="3200" w:type="dxa"/>
            <w:gridSpan w:val="2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Morning from 8 a.m.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From 10.30 a.m.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Afternoon </w:t>
            </w:r>
          </w:p>
        </w:tc>
        <w:tc>
          <w:tcPr>
            <w:tcW w:w="3202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Arrival and registration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Opening ceremony,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Manninger Memorial Session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Inaugural Lectures of Honorary Members of the Hungarian Society for Microbiology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Plenary Session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Extrachromosomal genetic elements in microorganisms. </w:t>
            </w:r>
          </w:p>
        </w:tc>
      </w:tr>
      <w:tr w:rsidR="006A3463" w:rsidTr="006A3463">
        <w:trPr>
          <w:trHeight w:val="707"/>
        </w:trPr>
        <w:tc>
          <w:tcPr>
            <w:tcW w:w="3200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July 9, 2015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(Thursday) </w:t>
            </w:r>
          </w:p>
        </w:tc>
        <w:tc>
          <w:tcPr>
            <w:tcW w:w="3200" w:type="dxa"/>
            <w:gridSpan w:val="2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Morning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Afternoon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Evening </w:t>
            </w:r>
          </w:p>
        </w:tc>
        <w:tc>
          <w:tcPr>
            <w:tcW w:w="3202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Semiplenary scientific sessions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Scientific sessions and poster presentations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Congress banquet </w:t>
            </w:r>
          </w:p>
        </w:tc>
      </w:tr>
      <w:tr w:rsidR="006A3463" w:rsidTr="006A3463">
        <w:trPr>
          <w:trHeight w:val="476"/>
        </w:trPr>
        <w:tc>
          <w:tcPr>
            <w:tcW w:w="3200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July 10, 2015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(Friday) </w:t>
            </w:r>
          </w:p>
        </w:tc>
        <w:tc>
          <w:tcPr>
            <w:tcW w:w="3200" w:type="dxa"/>
            <w:gridSpan w:val="2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Morning </w:t>
            </w:r>
          </w:p>
        </w:tc>
        <w:tc>
          <w:tcPr>
            <w:tcW w:w="3202" w:type="dxa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Semiplenary scientific sessions and poster presentations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Scientific sessions and poster </w:t>
            </w:r>
          </w:p>
        </w:tc>
      </w:tr>
      <w:tr w:rsidR="006A3463" w:rsidTr="00D84771">
        <w:trPr>
          <w:trHeight w:val="592"/>
        </w:trPr>
        <w:tc>
          <w:tcPr>
            <w:tcW w:w="6345" w:type="dxa"/>
            <w:gridSpan w:val="2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Afternoon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Late afternoon </w:t>
            </w:r>
          </w:p>
        </w:tc>
        <w:tc>
          <w:tcPr>
            <w:tcW w:w="3257" w:type="dxa"/>
            <w:gridSpan w:val="2"/>
          </w:tcPr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presentations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Closing ceremony, Best Poster Award, </w:t>
            </w:r>
          </w:p>
          <w:p w:rsidR="006A3463" w:rsidRPr="00D84771" w:rsidRDefault="006A3463">
            <w:pPr>
              <w:pStyle w:val="Default"/>
              <w:rPr>
                <w:rFonts w:ascii="Times New Roman" w:hAnsi="Times New Roman" w:cs="Times New Roman"/>
              </w:rPr>
            </w:pPr>
            <w:r w:rsidRPr="00D84771">
              <w:rPr>
                <w:rFonts w:ascii="Times New Roman" w:hAnsi="Times New Roman" w:cs="Times New Roman"/>
              </w:rPr>
              <w:t xml:space="preserve">Farewell drink </w:t>
            </w:r>
          </w:p>
        </w:tc>
      </w:tr>
    </w:tbl>
    <w:p w:rsidR="00D84771" w:rsidRPr="00070D0D" w:rsidRDefault="00D84771" w:rsidP="00070D0D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0D" w:rsidRPr="00070D0D" w:rsidRDefault="00D84771" w:rsidP="00070D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Scientific Advisory Board: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Levente Emődy (Hungary) </w:t>
      </w:r>
      <w:r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>Gi</w:t>
      </w:r>
      <w:r>
        <w:rPr>
          <w:rFonts w:ascii="Times New Roman" w:hAnsi="Times New Roman" w:cs="Times New Roman"/>
          <w:sz w:val="24"/>
          <w:szCs w:val="24"/>
        </w:rPr>
        <w:t xml:space="preserve">useppe Cornaglia (Italy)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Ronald de Vries (Nederlands)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Kornél L. Kovács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Kálmán Könczöl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 von Linden (Germany) </w:t>
      </w:r>
      <w:r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Tillmann Lueders (Germany)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Károly Márialigeti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János Minárovits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Maite Muniessa (Spain)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Béla Nagy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Erzsébet Nagy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Károly Nagy (Hungary)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Hans Helmut Niller (Germany)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Ferenc Olasz (Hungary)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Julius Rajcani (Slovakia)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 xml:space="preserve">Maja Rupnik (Slovenia)  </w:t>
      </w:r>
    </w:p>
    <w:p w:rsidR="00D84771" w:rsidRDefault="00D84771" w:rsidP="00D84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Ferenc Rozgonyi (Hungary) </w:t>
      </w:r>
      <w:r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771" w:rsidRPr="00D41F5D" w:rsidRDefault="00D84771" w:rsidP="00D41F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>Beáta Vértessy (Hungary)</w:t>
      </w:r>
    </w:p>
    <w:p w:rsidR="00D84771" w:rsidRDefault="00D84771" w:rsidP="00070D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70D0D" w:rsidRPr="00070D0D" w:rsidRDefault="00D84771" w:rsidP="00070D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Local Organizing Committee: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Andrea K. Borsodi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D84771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71">
        <w:rPr>
          <w:rFonts w:ascii="Times New Roman" w:hAnsi="Times New Roman" w:cs="Times New Roman"/>
          <w:sz w:val="24"/>
          <w:szCs w:val="24"/>
        </w:rPr>
        <w:t>Katal</w:t>
      </w:r>
      <w:r w:rsidR="00B318F7">
        <w:rPr>
          <w:rFonts w:ascii="Times New Roman" w:hAnsi="Times New Roman" w:cs="Times New Roman"/>
          <w:sz w:val="24"/>
          <w:szCs w:val="24"/>
        </w:rPr>
        <w:t>in Burián</w:t>
      </w:r>
      <w:r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F5D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Judith Deák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Levente Karaffa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Levente Kiss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József Kónya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Gábor Kovács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Gábor M. Kovács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Anna Maráz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Miklós Rusvai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4A2" w:rsidRDefault="00B318F7" w:rsidP="00D8477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István Tóth</w:t>
      </w:r>
      <w:r w:rsidR="00D84771" w:rsidRPr="00D8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D0D" w:rsidRPr="00070D0D" w:rsidRDefault="00D84771" w:rsidP="00D847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84771">
        <w:rPr>
          <w:rFonts w:ascii="Times New Roman" w:hAnsi="Times New Roman" w:cs="Times New Roman"/>
          <w:sz w:val="24"/>
          <w:szCs w:val="24"/>
        </w:rPr>
        <w:t>Mária Takács</w:t>
      </w:r>
      <w:r w:rsidR="00B318F7">
        <w:rPr>
          <w:rFonts w:ascii="Times New Roman" w:hAnsi="Times New Roman" w:cs="Times New Roman"/>
          <w:sz w:val="24"/>
          <w:szCs w:val="24"/>
        </w:rPr>
        <w:t>,</w:t>
      </w:r>
      <w:r w:rsidRPr="00D84771">
        <w:rPr>
          <w:rFonts w:ascii="Times New Roman" w:hAnsi="Times New Roman" w:cs="Times New Roman"/>
          <w:sz w:val="24"/>
          <w:szCs w:val="24"/>
        </w:rPr>
        <w:t xml:space="preserve"> Congress Secretary (e-mail: fotitkar@mmt.org.hu)</w:t>
      </w:r>
    </w:p>
    <w:p w:rsidR="00070D0D" w:rsidRPr="00070D0D" w:rsidRDefault="00070D0D" w:rsidP="00070D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70D0D" w:rsidRPr="00070D0D" w:rsidRDefault="00070D0D" w:rsidP="00070D0D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="00B318F7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oktató, kutató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070D0D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70D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070D0D" w:rsidP="00070D0D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0D0D">
        <w:rPr>
          <w:rFonts w:ascii="Times New Roman" w:eastAsia="Calibri" w:hAnsi="Times New Roman" w:cs="Times New Roman"/>
          <w:sz w:val="24"/>
          <w:szCs w:val="24"/>
        </w:rPr>
        <w:t xml:space="preserve">A rendezvény az ELTE SZMSZ Természettudományi Kar Szervezeti és Működési Szabályzata 39. §-ban az Eötvös Tudományos Konferencia rendezvény sorozatba vétellel kapcsolatban elvárt célokat megvalósítja, és kielégíti az ott meghatározott feltételeket, így </w:t>
      </w:r>
      <w:r w:rsidRPr="00070D0D">
        <w:rPr>
          <w:rFonts w:ascii="Times New Roman" w:eastAsia="Calibri" w:hAnsi="Times New Roman" w:cs="Times New Roman"/>
          <w:b/>
          <w:i/>
          <w:sz w:val="24"/>
          <w:szCs w:val="24"/>
        </w:rPr>
        <w:t>a Kari Tanácstól az előterjesztés támogatását kérem</w:t>
      </w:r>
      <w:r w:rsidRPr="00070D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1634A2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Budapest, 2015</w:t>
      </w:r>
      <w:r w:rsidR="00070D0D" w:rsidRPr="00070D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00070">
        <w:rPr>
          <w:rFonts w:ascii="Times New Roman" w:eastAsia="Calibri" w:hAnsi="Times New Roman" w:cs="Times New Roman"/>
          <w:sz w:val="24"/>
          <w:szCs w:val="24"/>
        </w:rPr>
        <w:t>január 21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070D0D" w:rsidRPr="00070D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0D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300070">
        <w:rPr>
          <w:rFonts w:ascii="Times New Roman" w:eastAsia="Calibri" w:hAnsi="Times New Roman" w:cs="Times New Roman"/>
          <w:sz w:val="24"/>
          <w:szCs w:val="24"/>
        </w:rPr>
        <w:t>Surján Péter</w:t>
      </w:r>
      <w:r w:rsidRPr="00070D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0D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30007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070D0D">
        <w:rPr>
          <w:rFonts w:ascii="Times New Roman" w:eastAsia="Calibri" w:hAnsi="Times New Roman" w:cs="Times New Roman"/>
          <w:sz w:val="24"/>
          <w:szCs w:val="24"/>
        </w:rPr>
        <w:t xml:space="preserve">dékán </w:t>
      </w:r>
    </w:p>
    <w:p w:rsidR="00070D0D" w:rsidRPr="00070D0D" w:rsidRDefault="00070D0D" w:rsidP="00070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D0D" w:rsidRPr="00070D0D" w:rsidRDefault="00070D0D" w:rsidP="00070D0D">
      <w:pPr>
        <w:rPr>
          <w:rFonts w:ascii="Calibri" w:eastAsia="Calibri" w:hAnsi="Calibri" w:cs="Times New Roman"/>
        </w:rPr>
      </w:pPr>
    </w:p>
    <w:p w:rsidR="00070D0D" w:rsidRPr="00070D0D" w:rsidRDefault="00070D0D" w:rsidP="00070D0D"/>
    <w:p w:rsidR="00252CAC" w:rsidRDefault="00252CAC"/>
    <w:sectPr w:rsidR="00252C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BF7" w:rsidRDefault="00167BF7">
      <w:pPr>
        <w:spacing w:after="0" w:line="240" w:lineRule="auto"/>
      </w:pPr>
      <w:r>
        <w:separator/>
      </w:r>
    </w:p>
  </w:endnote>
  <w:endnote w:type="continuationSeparator" w:id="0">
    <w:p w:rsidR="00167BF7" w:rsidRDefault="0016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0342840"/>
      <w:docPartObj>
        <w:docPartGallery w:val="Page Numbers (Bottom of Page)"/>
        <w:docPartUnique/>
      </w:docPartObj>
    </w:sdtPr>
    <w:sdtEndPr/>
    <w:sdtContent>
      <w:p w:rsidR="004B4B79" w:rsidRDefault="000474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070">
          <w:rPr>
            <w:noProof/>
          </w:rPr>
          <w:t>4</w:t>
        </w:r>
        <w:r>
          <w:fldChar w:fldCharType="end"/>
        </w:r>
      </w:p>
    </w:sdtContent>
  </w:sdt>
  <w:p w:rsidR="004B4B79" w:rsidRDefault="00167BF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BF7" w:rsidRDefault="00167BF7">
      <w:pPr>
        <w:spacing w:after="0" w:line="240" w:lineRule="auto"/>
      </w:pPr>
      <w:r>
        <w:separator/>
      </w:r>
    </w:p>
  </w:footnote>
  <w:footnote w:type="continuationSeparator" w:id="0">
    <w:p w:rsidR="00167BF7" w:rsidRDefault="00167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93389B"/>
    <w:multiLevelType w:val="hybridMultilevel"/>
    <w:tmpl w:val="2636490E"/>
    <w:lvl w:ilvl="0" w:tplc="0AE8D1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0D"/>
    <w:rsid w:val="00047404"/>
    <w:rsid w:val="00070D0D"/>
    <w:rsid w:val="000E1F6B"/>
    <w:rsid w:val="001634A2"/>
    <w:rsid w:val="00167BF7"/>
    <w:rsid w:val="002168A3"/>
    <w:rsid w:val="00252CAC"/>
    <w:rsid w:val="00295D83"/>
    <w:rsid w:val="002D58F3"/>
    <w:rsid w:val="00300070"/>
    <w:rsid w:val="00547437"/>
    <w:rsid w:val="005A0A90"/>
    <w:rsid w:val="006A3463"/>
    <w:rsid w:val="006E35CA"/>
    <w:rsid w:val="00716608"/>
    <w:rsid w:val="008070EA"/>
    <w:rsid w:val="00A4694D"/>
    <w:rsid w:val="00A867B0"/>
    <w:rsid w:val="00B318F7"/>
    <w:rsid w:val="00C67A00"/>
    <w:rsid w:val="00D41F5D"/>
    <w:rsid w:val="00D84771"/>
    <w:rsid w:val="00E14AC9"/>
    <w:rsid w:val="00E16D7A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DE8B3-7B8A-4D0B-B384-B48F076C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70D0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070D0D"/>
    <w:rPr>
      <w:rFonts w:ascii="Calibri" w:eastAsia="Calibri" w:hAnsi="Calibri" w:cs="Times New Roman"/>
    </w:rPr>
  </w:style>
  <w:style w:type="table" w:styleId="Vilgostnus">
    <w:name w:val="Light Shading"/>
    <w:basedOn w:val="Normltblzat"/>
    <w:uiPriority w:val="60"/>
    <w:rsid w:val="00070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2168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807</Words>
  <Characters>5575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Bíró Éva</cp:lastModifiedBy>
  <cp:revision>2</cp:revision>
  <dcterms:created xsi:type="dcterms:W3CDTF">2015-01-21T14:28:00Z</dcterms:created>
  <dcterms:modified xsi:type="dcterms:W3CDTF">2015-01-21T14:28:00Z</dcterms:modified>
</cp:coreProperties>
</file>